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line="200"/>
        <w:jc w:val="center"/>
      </w:pPr>
      <w:r>
        <w:rPr>
          <w:rFonts w:ascii="Calibri" w:cs="Calibri" w:eastAsia="Calibri" w:hAnsi="Calibri"/>
          <w:b/>
          <w:bCs/>
          <w:sz w:val="20"/>
          <w:szCs w:val="20"/>
        </w:rPr>
        <w:t xml:space="preserve">UBND PHƯỜNG LONG BÌNH</w:t>
      </w:r>
      <w:r>
        <w:rPr>
          <w:rFonts w:ascii="Calibri" w:cs="Calibri" w:eastAsia="Calibri" w:hAnsi="Calibri"/>
          <w:color w:val="C1912B"/>
          <w:sz w:val="20"/>
          <w:szCs w:val="20"/>
        </w:rPr>
        <w:t xml:space="preserve"> • </w:t>
      </w:r>
      <w:r>
        <w:rPr>
          <w:rFonts w:ascii="Calibri" w:cs="Calibri" w:eastAsia="Calibri" w:hAnsi="Calibri"/>
          <w:b/>
          <w:bCs/>
          <w:sz w:val="20"/>
          <w:szCs w:val="20"/>
        </w:rPr>
        <w:t xml:space="preserve">TRUNG TÂM PHỤC VỤ HÀNH CHÍNH CÔNG</w:t>
      </w:r>
    </w:p>
    <w:p>
      <w:pPr>
        <w:spacing w:after="400"/>
        <w:jc w:val="center"/>
      </w:pPr>
      <w:r>
        <w:rPr>
          <w:color w:val="666666"/>
          <w:sz w:val="18"/>
          <w:szCs w:val="18"/>
        </w:rPr>
        <w:t xml:space="preserve">Cộng hòa Xã hội Chủ nghĩa Việt Nam — Độc lập · Tự do · Hạnh phúc</w:t>
      </w:r>
    </w:p>
    <w:p>
      <w:pPr>
        <w:pBdr>
          <w:bottom w:val="double" w:color="16324F" w:sz="20" w:space="0"/>
        </w:pBdr>
        <w:spacing w:after="300"/>
      </w:pPr>
    </w:p>
    <w:p>
      <w:pPr>
        <w:spacing w:after="120"/>
        <w:jc w:val="center"/>
      </w:pPr>
      <w:r>
        <w:rPr>
          <w:rFonts w:ascii="Calibri" w:cs="Calibri" w:eastAsia="Calibri" w:hAnsi="Calibri"/>
          <w:b/>
          <w:bCs/>
          <w:color w:val="16324F"/>
          <w:sz w:val="32"/>
          <w:szCs w:val="32"/>
        </w:rPr>
        <w:t xml:space="preserve">BẢN TIN TUẦN</w:t>
      </w:r>
    </w:p>
    <w:p>
      <w:pPr>
        <w:spacing w:after="400"/>
        <w:jc w:val="center"/>
      </w:pPr>
      <w:r>
        <w:rPr>
          <w:color w:val="3B5772"/>
          <w:sz w:val="20"/>
          <w:szCs w:val="20"/>
        </w:rPr>
        <w:t xml:space="preserve">Kết quả hoạt động từ ngày 02/7 đến 08/7/2026</w:t>
      </w:r>
    </w:p>
    <w:p>
      <w:pPr>
        <w:spacing w:after="0"/>
        <w:jc w:val="center"/>
      </w:pPr>
      <w:r>
        <w:rPr>
          <w:rFonts w:ascii="Calibri" w:cs="Calibri" w:eastAsia="Calibri" w:hAnsi="Calibri"/>
          <w:b/>
          <w:bCs/>
          <w:color w:val="16324F"/>
          <w:sz w:val="72"/>
          <w:szCs w:val="72"/>
        </w:rPr>
        <w:t xml:space="preserve">1.115</w:t>
      </w:r>
    </w:p>
    <w:p>
      <w:pPr>
        <w:spacing w:after="200"/>
        <w:jc w:val="center"/>
      </w:pPr>
      <w:r>
        <w:rPr>
          <w:b/>
          <w:bCs/>
          <w:color w:val="C1912B"/>
          <w:sz w:val="22"/>
          <w:szCs w:val="22"/>
        </w:rPr>
        <w:t xml:space="preserve">hồ sơ tiếp nhận trong tuần</w:t>
      </w:r>
    </w:p>
    <w:p>
      <w:pPr>
        <w:spacing w:after="600"/>
        <w:jc w:val="center"/>
      </w:pPr>
      <w:r>
        <w:rPr>
          <w:color w:val="3B5772"/>
          <w:sz w:val="20"/>
          <w:szCs w:val="20"/>
        </w:rPr>
        <w:t xml:space="preserve">Bao gồm 319 hồ sơ tồn kỳ trước chuyển sang và 796 hồ sơ phát sinh trong kỳ — 100% nộp qua hình thức trực tuyến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pct" w:w="20%"/>
            <w:tcBorders>
              <w:top w:val="none"/>
              <w:left w:val="none"/>
              <w:bottom w:val="none"/>
              <w:right w:val="single" w:color="E3E6DD"/>
            </w:tcBorders>
            <w:shd w:fill="EBF2ED" w:val="clear"/>
          </w:tcPr>
          <w:p>
            <w:pPr>
              <w:spacing w:after="100"/>
              <w:jc w:val="center"/>
            </w:pPr>
            <w:r>
              <w:rPr>
                <w:b/>
                <w:bCs/>
                <w:color w:val="2F6B4F"/>
                <w:sz w:val="28"/>
                <w:szCs w:val="28"/>
              </w:rPr>
              <w:t xml:space="preserve">99,64%</w:t>
            </w:r>
          </w:p>
          <w:p>
            <w:pPr>
              <w:jc w:val="center"/>
            </w:pPr>
            <w:r>
              <w:rPr>
                <w:color w:val="16324F"/>
                <w:sz w:val="18"/>
                <w:szCs w:val="18"/>
              </w:rPr>
              <w:t xml:space="preserve">Hồ sơ giải quyết
trước &amp; đúng hạn</w:t>
            </w:r>
          </w:p>
        </w:tc>
        <w:tc>
          <w:tcPr>
            <w:tcW w:type="pct" w:w="20%"/>
            <w:tcBorders>
              <w:top w:val="none"/>
              <w:left w:val="none"/>
              <w:bottom w:val="none"/>
              <w:right w:val="single" w:color="E3E6DD"/>
            </w:tcBorders>
            <w:shd w:fill="EBF2ED" w:val="clear"/>
          </w:tcPr>
          <w:p>
            <w:pPr>
              <w:spacing w:after="100"/>
              <w:jc w:val="center"/>
            </w:pPr>
            <w:r>
              <w:rPr>
                <w:b/>
                <w:bCs/>
                <w:color w:val="2F6B4F"/>
                <w:sz w:val="28"/>
                <w:szCs w:val="28"/>
              </w:rPr>
              <w:t xml:space="preserve">100%</w:t>
            </w:r>
          </w:p>
          <w:p>
            <w:pPr>
              <w:jc w:val="center"/>
            </w:pPr>
            <w:r>
              <w:rPr>
                <w:color w:val="16324F"/>
                <w:sz w:val="18"/>
                <w:szCs w:val="18"/>
              </w:rPr>
              <w:t xml:space="preserve">Hồ sơ nộp
trực tuyến</w:t>
            </w:r>
          </w:p>
        </w:tc>
        <w:tc>
          <w:tcPr>
            <w:tcW w:type="pct" w:w="20%"/>
            <w:tcBorders>
              <w:top w:val="none"/>
              <w:left w:val="none"/>
              <w:bottom w:val="none"/>
              <w:right w:val="single" w:color="E3E6DD"/>
            </w:tcBorders>
            <w:shd w:fill="EBF2ED" w:val="clear"/>
          </w:tcPr>
          <w:p>
            <w:pPr>
              <w:spacing w:after="100"/>
              <w:jc w:val="center"/>
            </w:pPr>
            <w:r>
              <w:rPr>
                <w:b/>
                <w:bCs/>
                <w:color w:val="2F6B4F"/>
                <w:sz w:val="28"/>
                <w:szCs w:val="28"/>
              </w:rPr>
              <w:t xml:space="preserve">100%</w:t>
            </w:r>
          </w:p>
          <w:p>
            <w:pPr>
              <w:jc w:val="center"/>
            </w:pPr>
            <w:r>
              <w:rPr>
                <w:color w:val="16324F"/>
                <w:sz w:val="18"/>
                <w:szCs w:val="18"/>
              </w:rPr>
              <w:t xml:space="preserve">Số hóa hồ sơ
khi tiếp nhận</w:t>
            </w:r>
          </w:p>
        </w:tc>
        <w:tc>
          <w:tcPr>
            <w:tcW w:type="pct" w:w="20%"/>
            <w:tcBorders>
              <w:top w:val="none"/>
              <w:left w:val="none"/>
              <w:bottom w:val="none"/>
              <w:right w:val="single" w:color="E3E6DD"/>
            </w:tcBorders>
            <w:shd w:fill="F4EFE8" w:val="clear"/>
          </w:tcPr>
          <w:p>
            <w:pPr>
              <w:spacing w:after="100"/>
              <w:jc w:val="center"/>
            </w:pPr>
            <w:r>
              <w:rPr>
                <w:b/>
                <w:bCs/>
                <w:color w:val="93711F"/>
                <w:sz w:val="28"/>
                <w:szCs w:val="28"/>
              </w:rPr>
              <w:t xml:space="preserve">84,62%</w:t>
            </w:r>
          </w:p>
          <w:p>
            <w:pPr>
              <w:jc w:val="center"/>
            </w:pPr>
            <w:r>
              <w:rPr>
                <w:color w:val="16324F"/>
                <w:sz w:val="18"/>
                <w:szCs w:val="18"/>
              </w:rPr>
              <w:t xml:space="preserve">Số hóa kết quả
giải quyết</w:t>
            </w:r>
          </w:p>
        </w:tc>
        <w:tc>
          <w:tcPr>
            <w:tcW w:type="pct" w:w="20%"/>
            <w:tcBorders>
              <w:top w:val="none"/>
              <w:left w:val="none"/>
              <w:bottom w:val="none"/>
              <w:right w:val="none"/>
            </w:tcBorders>
            <w:shd w:fill="EBF2ED" w:val="clear"/>
          </w:tcPr>
          <w:p>
            <w:pPr>
              <w:spacing w:after="100"/>
              <w:jc w:val="center"/>
            </w:pPr>
            <w:r>
              <w:rPr>
                <w:b/>
                <w:bCs/>
                <w:color w:val="2F6B4F"/>
                <w:sz w:val="28"/>
                <w:szCs w:val="28"/>
              </w:rPr>
              <w:t xml:space="preserve">100%</w:t>
            </w:r>
          </w:p>
          <w:p>
            <w:pPr>
              <w:jc w:val="center"/>
            </w:pPr>
            <w:r>
              <w:rPr>
                <w:color w:val="16324F"/>
                <w:sz w:val="18"/>
                <w:szCs w:val="18"/>
              </w:rPr>
              <w:t xml:space="preserve">Thanh toán
trực tuyến</w:t>
            </w:r>
          </w:p>
        </w:tc>
      </w:tr>
    </w:tbl>
    <w:p>
      <w:pPr>
        <w:spacing w:after="400"/>
      </w:pPr>
    </w:p>
    <w:p>
      <w:pPr>
        <w:spacing w:after="200"/>
      </w:pPr>
      <w:r>
        <w:rPr>
          <w:rFonts w:ascii="Courier New" w:cs="Courier New" w:eastAsia="Courier New" w:hAnsi="Courier New"/>
          <w:b/>
          <w:bCs/>
          <w:color w:val="C1912B"/>
          <w:sz w:val="20"/>
          <w:szCs w:val="20"/>
        </w:rPr>
        <w:t xml:space="preserve">01 </w:t>
      </w:r>
      <w:r>
        <w:rPr>
          <w:b/>
          <w:bCs/>
          <w:color w:val="16324F"/>
          <w:sz w:val="24"/>
          <w:szCs w:val="24"/>
        </w:rPr>
        <w:t xml:space="preserve">Hồ sơ tiếp nhận theo lĩnh vực</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F4EFE8" w:val="clear"/>
          </w:tcPr>
          <w:p>
            <w:pPr>
              <w:spacing w:after="100"/>
            </w:pPr>
            <w:r>
              <w:rPr>
                <w:b/>
                <w:bCs/>
                <w:sz w:val="20"/>
                <w:szCs w:val="20"/>
              </w:rPr>
              <w:t xml:space="preserve">Lĩnh vực</w:t>
            </w:r>
          </w:p>
          <w:p>
            <w:pPr>
              <w:spacing w:after="80"/>
            </w:pPr>
            <w:r>
              <w:t xml:space="preserve">Chứng thực: 476 hồ sơ</w:t>
            </w:r>
          </w:p>
          <w:p>
            <w:pPr>
              <w:spacing w:after="80"/>
            </w:pPr>
            <w:r>
              <w:t xml:space="preserve">Thành lập &amp; hoạt động doanh nghiệp: 131 hồ sơ</w:t>
            </w:r>
          </w:p>
          <w:p>
            <w:pPr>
              <w:spacing w:after="80"/>
            </w:pPr>
            <w:r>
              <w:t xml:space="preserve">Hộ tịch: 119 hồ sơ</w:t>
            </w:r>
          </w:p>
          <w:p>
            <w:pPr>
              <w:spacing w:after="80"/>
            </w:pPr>
            <w:r>
              <w:t xml:space="preserve">Đất đai: 11 hồ sơ</w:t>
            </w:r>
          </w:p>
          <w:p>
            <w:pPr>
              <w:spacing w:after="80"/>
            </w:pPr>
            <w:r>
              <w:t xml:space="preserve">Xây dựng: 09 hồ sơ</w:t>
            </w:r>
          </w:p>
          <w:p>
            <w:pPr>
              <w:spacing w:after="80"/>
            </w:pPr>
            <w:r>
              <w:t xml:space="preserve">Bảo trợ xã hội: 06 hồ sơ</w:t>
            </w:r>
          </w:p>
          <w:p>
            <w:pPr>
              <w:spacing w:after="0"/>
            </w:pPr>
            <w:r>
              <w:t xml:space="preserve">Người có công: 02 hồ sơ</w:t>
            </w:r>
          </w:p>
        </w:tc>
      </w:tr>
    </w:tbl>
    <w:p>
      <w:pPr>
        <w:spacing w:after="400"/>
      </w:pPr>
    </w:p>
    <w:p>
      <w:pPr>
        <w:spacing w:after="200"/>
      </w:pPr>
      <w:r>
        <w:rPr>
          <w:rFonts w:ascii="Courier New" w:cs="Courier New" w:eastAsia="Courier New" w:hAnsi="Courier New"/>
          <w:b/>
          <w:bCs/>
          <w:color w:val="C1912B"/>
          <w:sz w:val="20"/>
          <w:szCs w:val="20"/>
        </w:rPr>
        <w:t xml:space="preserve">02 </w:t>
      </w:r>
      <w:r>
        <w:rPr>
          <w:b/>
          <w:bCs/>
          <w:color w:val="16324F"/>
          <w:sz w:val="24"/>
          <w:szCs w:val="24"/>
        </w:rPr>
        <w:t xml:space="preserve">Tiến độ giải quyết hồ sơ</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Borders>
              <w:right w:val="single" w:color="E3E6DD"/>
            </w:tcBorders>
          </w:tcPr>
          <w:p>
            <w:pPr>
              <w:spacing w:after="100"/>
            </w:pPr>
            <w:r>
              <w:rPr>
                <w:b/>
                <w:bCs/>
                <w:sz w:val="20"/>
                <w:szCs w:val="20"/>
              </w:rPr>
              <w:t xml:space="preserve">Trước &amp; đúng hạn</w:t>
            </w:r>
          </w:p>
          <w:p>
            <w:pPr>
              <w:spacing w:after="60"/>
            </w:pPr>
            <w:r>
              <w:rPr>
                <w:b/>
                <w:bCs/>
                <w:color w:val="2F6B4F"/>
                <w:sz w:val="26"/>
                <w:szCs w:val="26"/>
              </w:rPr>
              <w:t xml:space="preserve">852 / 1.115</w:t>
            </w:r>
          </w:p>
          <w:p>
            <w:pPr>
              <w:spacing w:after="200"/>
            </w:pPr>
            <w:r>
              <w:rPr>
                <w:color w:val="2F6B4F"/>
                <w:sz w:val="18"/>
                <w:szCs w:val="18"/>
              </w:rPr>
              <w:t xml:space="preserve">76,41%</w:t>
            </w:r>
          </w:p>
          <w:p>
            <w:pPr>
              <w:spacing w:after="100"/>
            </w:pPr>
            <w:r>
              <w:rPr>
                <w:b/>
                <w:bCs/>
                <w:sz w:val="20"/>
                <w:szCs w:val="20"/>
              </w:rPr>
              <w:t xml:space="preserve">Đang giải quyết trong hạn</w:t>
            </w:r>
          </w:p>
          <w:p>
            <w:pPr>
              <w:spacing w:after="60"/>
            </w:pPr>
            <w:r>
              <w:rPr>
                <w:b/>
                <w:bCs/>
                <w:color w:val="C1912B"/>
                <w:sz w:val="26"/>
                <w:szCs w:val="26"/>
              </w:rPr>
              <w:t xml:space="preserve">259 / 1.115</w:t>
            </w:r>
          </w:p>
          <w:p>
            <w:pPr>
              <w:spacing w:after="200"/>
            </w:pPr>
            <w:r>
              <w:rPr>
                <w:color w:val="C1912B"/>
                <w:sz w:val="18"/>
                <w:szCs w:val="18"/>
              </w:rPr>
              <w:t xml:space="preserve">23,23%</w:t>
            </w:r>
          </w:p>
          <w:p>
            <w:pPr>
              <w:spacing w:after="100"/>
            </w:pPr>
            <w:r>
              <w:rPr>
                <w:b/>
                <w:bCs/>
                <w:color w:val="B54A3A"/>
                <w:sz w:val="20"/>
                <w:szCs w:val="20"/>
              </w:rPr>
              <w:t xml:space="preserve">Quá hạn</w:t>
            </w:r>
          </w:p>
          <w:p>
            <w:pPr>
              <w:spacing w:after="60"/>
            </w:pPr>
            <w:r>
              <w:rPr>
                <w:b/>
                <w:bCs/>
                <w:color w:val="B54A3A"/>
                <w:sz w:val="26"/>
                <w:szCs w:val="26"/>
              </w:rPr>
              <w:t xml:space="preserve">04 / 1.115</w:t>
            </w:r>
          </w:p>
          <w:p>
            <w:pPr>
              <w:spacing w:after="0"/>
            </w:pPr>
            <w:r>
              <w:rPr>
                <w:color w:val="B54A3A"/>
                <w:sz w:val="18"/>
                <w:szCs w:val="18"/>
              </w:rPr>
              <w:t xml:space="preserve">0,36%</w:t>
            </w:r>
          </w:p>
        </w:tc>
        <w:tc>
          <w:tcPr>
            <w:tcW w:type="pct" w:w="50%"/>
            <w:shd w:fill="F9F7F2" w:val="clear"/>
          </w:tcPr>
          <w:p>
            <w:pPr>
              <w:spacing w:after="150"/>
            </w:pPr>
            <w:r>
              <w:rPr>
                <w:b/>
                <w:bCs/>
                <w:sz w:val="20"/>
                <w:szCs w:val="20"/>
              </w:rPr>
              <w:t xml:space="preserve">Ghi chú</w:t>
            </w:r>
          </w:p>
          <w:p>
            <w:pPr>
              <w:spacing w:after="150"/>
            </w:pPr>
            <w:r>
              <w:rPr>
                <w:color w:val="3B5772"/>
                <w:sz w:val="18"/>
                <w:szCs w:val="18"/>
              </w:rPr>
              <w:t xml:space="preserve">04 hồ sơ quá hạn gồm 03 hồ sơ lĩnh vực Đất đai (mã H19.155-260612-1982, H19.155-260612-2007, H19.155-260612-1759) và 01 hồ sơ Chứng thực (mã H19.155-260702-150096).</w:t>
            </w:r>
          </w:p>
          <w:p>
            <w:pPr>
              <w:spacing w:after="0"/>
            </w:pPr>
            <w:r>
              <w:rPr>
                <w:color w:val="3B5772"/>
                <w:sz w:val="18"/>
                <w:szCs w:val="18"/>
              </w:rPr>
              <w:t xml:space="preserve">Các hồ sơ quá hạn chủ yếu ở lĩnh vực Đất đai, nguyên nhân do quá trình xử lý phải phối hợp qua nhiều khâu.</w:t>
            </w:r>
          </w:p>
        </w:tc>
      </w:tr>
    </w:tbl>
    <w:p>
      <w:pPr>
        <w:spacing w:after="400"/>
      </w:pPr>
    </w:p>
    <w:p>
      <w:pPr>
        <w:spacing w:after="200"/>
      </w:pPr>
      <w:r>
        <w:rPr>
          <w:rFonts w:ascii="Courier New" w:cs="Courier New" w:eastAsia="Courier New" w:hAnsi="Courier New"/>
          <w:b/>
          <w:bCs/>
          <w:color w:val="C1912B"/>
          <w:sz w:val="20"/>
          <w:szCs w:val="20"/>
        </w:rPr>
        <w:t xml:space="preserve">03 </w:t>
      </w:r>
      <w:r>
        <w:rPr>
          <w:b/>
          <w:bCs/>
          <w:color w:val="16324F"/>
          <w:sz w:val="24"/>
          <w:szCs w:val="24"/>
        </w:rPr>
        <w:t xml:space="preserve">Bộ máy vận hành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Borders>
              <w:right w:val="single" w:color="E3E6DD"/>
            </w:tcBorders>
          </w:tcPr>
          <w:p>
            <w:pPr>
              <w:spacing w:after="120"/>
            </w:pPr>
            <w:r>
              <w:rPr>
                <w:b/>
                <w:bCs/>
                <w:color w:val="16324F"/>
                <w:sz w:val="20"/>
                <w:szCs w:val="20"/>
              </w:rPr>
              <w:t xml:space="preserve">Nhân sự</w:t>
            </w:r>
          </w:p>
          <w:p>
            <w:pPr>
              <w:spacing w:after="100"/>
            </w:pPr>
            <w:r>
              <w:rPr>
                <w:sz w:val="19"/>
                <w:szCs w:val="19"/>
              </w:rPr>
              <w:t xml:space="preserve">•  Trung tâm PVHCC (04 người)</w:t>
            </w:r>
          </w:p>
          <w:p>
            <w:pPr>
              <w:spacing w:after="100"/>
            </w:pPr>
            <w:r>
              <w:rPr>
                <w:sz w:val="19"/>
                <w:szCs w:val="19"/>
              </w:rPr>
              <w:t xml:space="preserve">•  Phòng Văn phòng (05 người)</w:t>
            </w:r>
          </w:p>
          <w:p>
            <w:pPr>
              <w:spacing w:after="100"/>
            </w:pPr>
            <w:r>
              <w:rPr>
                <w:sz w:val="19"/>
                <w:szCs w:val="19"/>
              </w:rPr>
              <w:t xml:space="preserve">•  Phòng Kinh tế, Hạ tầng &amp; Đô thị (03 người)</w:t>
            </w:r>
          </w:p>
          <w:p>
            <w:pPr>
              <w:spacing w:after="100"/>
            </w:pPr>
            <w:r>
              <w:rPr>
                <w:sz w:val="19"/>
                <w:szCs w:val="19"/>
              </w:rPr>
              <w:t xml:space="preserve">•  Phòng Văn hóa xã hội (04 người)</w:t>
            </w:r>
          </w:p>
          <w:p>
            <w:pPr>
              <w:spacing w:after="100"/>
            </w:pPr>
            <w:r>
              <w:rPr>
                <w:sz w:val="19"/>
                <w:szCs w:val="19"/>
              </w:rPr>
              <w:t xml:space="preserve">•  Văn phòng Đăng ký đất đai tỉnh (02 người)</w:t>
            </w:r>
          </w:p>
          <w:p>
            <w:pPr>
              <w:spacing w:after="100"/>
            </w:pPr>
            <w:r>
              <w:rPr>
                <w:sz w:val="19"/>
                <w:szCs w:val="19"/>
              </w:rPr>
              <w:t xml:space="preserve">•  Bưu điện, BHXH, Ngân hàng (03 người)</w:t>
            </w:r>
          </w:p>
          <w:p>
            <w:pPr>
              <w:spacing w:after="100"/>
            </w:pPr>
            <w:r>
              <w:rPr>
                <w:sz w:val="19"/>
                <w:szCs w:val="19"/>
              </w:rPr>
              <w:t xml:space="preserve">•  Hợp đồng hỗ trợ (01 người)</w:t>
            </w:r>
          </w:p>
          <w:p>
            <w:pPr>
              <w:spacing w:after="0"/>
            </w:pPr>
            <w:r>
              <w:rPr>
                <w:sz w:val="19"/>
                <w:szCs w:val="19"/>
              </w:rPr>
              <w:t xml:space="preserve">•  Dân quân thường trực (02 người)</w:t>
            </w:r>
          </w:p>
        </w:tc>
        <w:tc>
          <w:tcPr>
            <w:tcW w:type="pct" w:w="50%"/>
            <w:shd w:fill="F9F7F2" w:val="clear"/>
          </w:tcPr>
          <w:p>
            <w:pPr>
              <w:spacing w:after="120"/>
            </w:pPr>
            <w:r>
              <w:rPr>
                <w:b/>
                <w:bCs/>
                <w:color w:val="16324F"/>
                <w:sz w:val="20"/>
                <w:szCs w:val="20"/>
              </w:rPr>
              <w:t xml:space="preserve">Trang thiết bị chủ yếu</w:t>
            </w:r>
          </w:p>
          <w:p>
            <w:pPr>
              <w:spacing w:after="80"/>
            </w:pPr>
            <w:r>
              <w:rPr>
                <w:b/>
                <w:bCs/>
                <w:color w:val="C1912B"/>
                <w:sz w:val="22"/>
                <w:szCs w:val="22"/>
              </w:rPr>
              <w:t xml:space="preserve">20</w:t>
            </w:r>
            <w:r>
              <w:rPr>
                <w:sz w:val="19"/>
                <w:szCs w:val="19"/>
              </w:rPr>
              <w:t xml:space="preserve"> Máy vi tính</w:t>
            </w:r>
          </w:p>
          <w:p>
            <w:pPr>
              <w:spacing w:after="80"/>
            </w:pPr>
            <w:r>
              <w:rPr>
                <w:b/>
                <w:bCs/>
                <w:color w:val="C1912B"/>
                <w:sz w:val="22"/>
                <w:szCs w:val="22"/>
              </w:rPr>
              <w:t xml:space="preserve">11</w:t>
            </w:r>
            <w:r>
              <w:rPr>
                <w:sz w:val="19"/>
                <w:szCs w:val="19"/>
              </w:rPr>
              <w:t xml:space="preserve"> Máy in</w:t>
            </w:r>
          </w:p>
          <w:p>
            <w:pPr>
              <w:spacing w:after="80"/>
            </w:pPr>
            <w:r>
              <w:rPr>
                <w:b/>
                <w:bCs/>
                <w:color w:val="C1912B"/>
                <w:sz w:val="22"/>
                <w:szCs w:val="22"/>
              </w:rPr>
              <w:t xml:space="preserve">15</w:t>
            </w:r>
            <w:r>
              <w:rPr>
                <w:sz w:val="19"/>
                <w:szCs w:val="19"/>
              </w:rPr>
              <w:t xml:space="preserve"> Quầy giao dịch</w:t>
            </w:r>
          </w:p>
          <w:p>
            <w:pPr>
              <w:spacing w:after="80"/>
            </w:pPr>
            <w:r>
              <w:rPr>
                <w:b/>
                <w:bCs/>
                <w:color w:val="C1912B"/>
                <w:sz w:val="22"/>
                <w:szCs w:val="22"/>
              </w:rPr>
              <w:t xml:space="preserve">2</w:t>
            </w:r>
            <w:r>
              <w:rPr>
                <w:sz w:val="19"/>
                <w:szCs w:val="19"/>
              </w:rPr>
              <w:t xml:space="preserve"> Máy scan</w:t>
            </w:r>
          </w:p>
          <w:p>
            <w:pPr>
              <w:spacing w:after="80"/>
            </w:pPr>
            <w:r>
              <w:rPr>
                <w:b/>
                <w:bCs/>
                <w:color w:val="C1912B"/>
                <w:sz w:val="22"/>
                <w:szCs w:val="22"/>
              </w:rPr>
              <w:t xml:space="preserve">Hệ thống</w:t>
            </w:r>
            <w:r>
              <w:rPr>
                <w:sz w:val="19"/>
                <w:szCs w:val="19"/>
              </w:rPr>
              <w:t xml:space="preserve"> Camera giám sát</w:t>
            </w:r>
          </w:p>
          <w:p>
            <w:pPr>
              <w:spacing w:after="80"/>
            </w:pPr>
            <w:r>
              <w:rPr>
                <w:b/>
                <w:bCs/>
                <w:color w:val="C1912B"/>
                <w:sz w:val="22"/>
                <w:szCs w:val="22"/>
              </w:rPr>
              <w:t xml:space="preserve">1</w:t>
            </w:r>
            <w:r>
              <w:rPr>
                <w:sz w:val="19"/>
                <w:szCs w:val="19"/>
              </w:rPr>
              <w:t xml:space="preserve"> Máy Kiosk bấm số</w:t>
            </w:r>
          </w:p>
          <w:p>
            <w:pPr>
              <w:spacing w:after="0"/>
            </w:pPr>
            <w:r>
              <w:rPr>
                <w:b/>
                <w:bCs/>
                <w:color w:val="C1912B"/>
                <w:sz w:val="22"/>
                <w:szCs w:val="22"/>
              </w:rPr>
              <w:t xml:space="preserve">120m²</w:t>
            </w:r>
            <w:r>
              <w:rPr>
                <w:sz w:val="19"/>
                <w:szCs w:val="19"/>
              </w:rPr>
              <w:t xml:space="preserve"> Khu vực phục vụ nhân dân</w:t>
            </w:r>
          </w:p>
        </w:tc>
      </w:tr>
    </w:tbl>
    <w:p>
      <w:pPr>
        <w:spacing w:after="400"/>
      </w:pPr>
    </w:p>
    <w:p>
      <w:pPr>
        <w:spacing w:after="200"/>
      </w:pPr>
      <w:r>
        <w:rPr>
          <w:rFonts w:ascii="Courier New" w:cs="Courier New" w:eastAsia="Courier New" w:hAnsi="Courier New"/>
          <w:b/>
          <w:bCs/>
          <w:color w:val="C1912B"/>
          <w:sz w:val="20"/>
          <w:szCs w:val="20"/>
        </w:rPr>
        <w:t xml:space="preserve">04 </w:t>
      </w:r>
      <w:r>
        <w:rPr>
          <w:b/>
          <w:bCs/>
          <w:color w:val="16324F"/>
          <w:sz w:val="24"/>
          <w:szCs w:val="24"/>
        </w:rPr>
        <w:t xml:space="preserve">Khó khăn &amp; Giải pháp</w:t>
      </w:r>
    </w:p>
    <w:p>
      <w:pPr>
        <w:spacing w:after="120"/>
      </w:pPr>
      <w:r>
        <w:rPr>
          <w:b/>
          <w:bCs/>
          <w:color w:val="B54A3A"/>
          <w:sz w:val="20"/>
          <w:szCs w:val="20"/>
        </w:rPr>
        <w:t xml:space="preserve">KHÓ KHĂN CHÍNH:</w:t>
      </w:r>
    </w:p>
    <w:p>
      <w:pPr>
        <w:spacing w:after="100"/>
      </w:pPr>
      <w:r>
        <w:t xml:space="preserve">•  Hồ sơ quá hạn vẫn phát sinh, tập trung ở lĩnh vực Đất đai (08 hồ sơ/tháng gần đây)</w:t>
      </w:r>
    </w:p>
    <w:p>
      <w:pPr>
        <w:spacing w:after="200"/>
      </w:pPr>
      <w:r>
        <w:t xml:space="preserve">•  Hệ thống thông tin của các bộ, ngành Trung ương thường xuyên lỗi kỹ thuật, đặc biệt Hệ thống Bộ Tư pháp (đăng nhập, nộp hồ sơ, thanh toán, hiển thị dữ liệu)</w:t>
      </w:r>
    </w:p>
    <w:p>
      <w:pPr>
        <w:spacing w:after="120"/>
      </w:pPr>
      <w:r>
        <w:rPr>
          <w:b/>
          <w:bCs/>
          <w:color w:val="2F6B4F"/>
          <w:sz w:val="20"/>
          <w:szCs w:val="20"/>
        </w:rPr>
        <w:t xml:space="preserve">GIẢI PHÁP ĐỀ XUẤT:</w:t>
      </w:r>
    </w:p>
    <w:p>
      <w:pPr>
        <w:spacing w:after="100"/>
      </w:pPr>
      <w:r>
        <w:t xml:space="preserve">•  Chủ động trao đổi sớm với đơn vị liên quan để thống nhất phương án xử lý, hạn chế bổ sung/luân chuyển nhiều lần</w:t>
      </w:r>
    </w:p>
    <w:p>
      <w:pPr>
        <w:spacing w:after="100"/>
      </w:pPr>
      <w:r>
        <w:t xml:space="preserve">•  Báo cáo kịp thời lãnh đạo UBND phường đối với hồ sơ có nguy cơ quá hạn do nguyên nhân khách quan</w:t>
      </w:r>
    </w:p>
    <w:p>
      <w:pPr>
        <w:spacing w:after="200"/>
      </w:pPr>
      <w:r>
        <w:t xml:space="preserve">•  Khai thác hiệu quả chức năng theo dõi tiến độ, cảnh báo quá hạn trên Hệ thống thông tin</w:t>
      </w:r>
    </w:p>
    <w:p>
      <w:pPr>
        <w:spacing w:after="120"/>
      </w:pPr>
      <w:r>
        <w:rPr>
          <w:b/>
          <w:bCs/>
          <w:color w:val="16324F"/>
          <w:sz w:val="20"/>
          <w:szCs w:val="20"/>
        </w:rPr>
        <w:t xml:space="preserve">KIẾN NGHỊ:</w:t>
      </w:r>
    </w:p>
    <w:p>
      <w:pPr>
        <w:spacing w:after="400"/>
      </w:pPr>
      <w:r>
        <w:t xml:space="preserve">Đề nghị Trưởng các phòng phối hợp với Trung tâm chỉ đạo, đôn đốc công chức thường xuyên kiểm tra, tiếp nhận và xử lý kịp thời hồ sơ trên phần mềm để tránh phát sinh hồ sơ trễ hạn; tăng cường số hóa hồ sơ tiếp nhận và trả kết quả.</w:t>
      </w:r>
    </w:p>
    <w:p>
      <w:pPr>
        <w:spacing w:after="200"/>
      </w:pPr>
      <w:r>
        <w:rPr>
          <w:rFonts w:ascii="Courier New" w:cs="Courier New" w:eastAsia="Courier New" w:hAnsi="Courier New"/>
          <w:b/>
          <w:bCs/>
          <w:color w:val="C1912B"/>
          <w:sz w:val="20"/>
          <w:szCs w:val="20"/>
        </w:rPr>
        <w:t xml:space="preserve">05 </w:t>
      </w:r>
      <w:r>
        <w:rPr>
          <w:b/>
          <w:bCs/>
          <w:color w:val="16324F"/>
          <w:sz w:val="24"/>
          <w:szCs w:val="24"/>
        </w:rPr>
        <w:t xml:space="preserve">Nhiệm vụ trọng tâm tuần tới</w:t>
      </w:r>
    </w:p>
    <w:p>
      <w:pPr>
        <w:spacing w:after="120"/>
      </w:pPr>
      <w:r>
        <w:t xml:space="preserve">☐  Tiếp tục rà soát, xử lý dứt điểm các hồ sơ đang giải quyết trong hạn</w:t>
      </w:r>
    </w:p>
    <w:p>
      <w:pPr>
        <w:spacing w:after="120"/>
      </w:pPr>
      <w:r>
        <w:t xml:space="preserve">☐  Tiếp tục hỗ trợ người dân nộp hồ sơ trực tuyến và thanh toán không dùng tiền mặt</w:t>
      </w:r>
    </w:p>
    <w:p>
      <w:pPr>
        <w:spacing w:after="400"/>
      </w:pPr>
      <w:r>
        <w:t xml:space="preserve">☐  Triển khai kế hoạch cải cách hành chính, kiểm soát TTHC những tháng còn lại của năm 2026 theo chỉ đạo UBND tỉnh Đồng Nai</w:t>
      </w:r>
    </w:p>
    <w:p>
      <w:pPr>
        <w:pBdr>
          <w:top w:val="double" w:color="16324F" w:sz="20" w:space="0"/>
        </w:pBdr>
        <w:spacing w:after="300"/>
      </w:pPr>
    </w:p>
    <w:p>
      <w:pPr>
        <w:spacing w:after="80"/>
      </w:pPr>
      <w:r>
        <w:rPr>
          <w:b/>
          <w:bCs/>
          <w:sz w:val="19"/>
          <w:szCs w:val="19"/>
        </w:rPr>
        <w:t xml:space="preserve">Nơi nhận:</w:t>
      </w:r>
    </w:p>
    <w:p>
      <w:pPr>
        <w:spacing w:after="60"/>
      </w:pPr>
      <w:r>
        <w:t xml:space="preserve">•  Thường trực UBND phường Long Bình</w:t>
      </w:r>
    </w:p>
    <w:p>
      <w:pPr>
        <w:spacing w:after="60"/>
      </w:pPr>
      <w:r>
        <w:t xml:space="preserve">•  Văn phòng HĐND–UBND phường (để báo cáo)</w:t>
      </w:r>
    </w:p>
    <w:p>
      <w:pPr>
        <w:spacing w:after="60"/>
      </w:pPr>
      <w:r>
        <w:t xml:space="preserve">•  Giám đốc, các Phó Giám đốc Trung tâm</w:t>
      </w:r>
    </w:p>
    <w:p>
      <w:pPr>
        <w:spacing w:after="60"/>
      </w:pPr>
      <w:r>
        <w:t xml:space="preserve">•  Trưởng các phòng chuyên môn</w:t>
      </w:r>
    </w:p>
    <w:p>
      <w:pPr>
        <w:spacing w:after="300"/>
      </w:pPr>
      <w:r>
        <w:t xml:space="preserve">•  Lưu: VT, HCC (Giang)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70%"/>
            <w:tcBorders>
              <w:top w:val="none"/>
              <w:left w:val="none"/>
              <w:bottom w:val="none"/>
              <w:right w:val="none"/>
            </w:tcBorders>
          </w:tcPr>
          <w:p/>
        </w:tc>
        <w:tc>
          <w:tcPr>
            <w:tcW w:type="pct" w:w="30%"/>
            <w:tcBorders>
              <w:top w:val="none"/>
              <w:left w:val="none"/>
              <w:bottom w:val="none"/>
              <w:right w:val="none"/>
            </w:tcBorders>
          </w:tcPr>
          <w:p>
            <w:pPr>
              <w:spacing w:after="0"/>
              <w:jc w:val="center"/>
            </w:pPr>
            <w:r>
              <w:rPr>
                <w:b/>
                <w:bCs/>
                <w:sz w:val="19"/>
                <w:szCs w:val="19"/>
              </w:rPr>
              <w:t xml:space="preserve">KT. GIÁM ĐỐC</w:t>
            </w:r>
          </w:p>
          <w:p>
            <w:pPr>
              <w:spacing w:after="200"/>
              <w:jc w:val="center"/>
            </w:pPr>
            <w:r>
              <w:rPr>
                <w:b/>
                <w:bCs/>
                <w:sz w:val="19"/>
                <w:szCs w:val="19"/>
              </w:rPr>
              <w:t xml:space="preserve">PHÓ GIÁM ĐỐC</w:t>
            </w:r>
          </w:p>
          <w:p>
            <w:pPr>
              <w:spacing w:after="0"/>
              <w:jc w:val="center"/>
            </w:pPr>
            <w:r>
              <w:rPr>
                <w:b/>
                <w:bCs/>
                <w:color w:val="16324F"/>
                <w:sz w:val="20"/>
                <w:szCs w:val="20"/>
              </w:rPr>
              <w:t xml:space="preserve">Lê Thị Thu Hiền</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2026-07-14T03:32:41.575Z</dcterms:created>
  <dcterms:modified xsi:type="dcterms:W3CDTF">2026-07-14T03:32:41.593Z</dcterms:modified>
</cp:coreProperties>
</file>

<file path=docProps/custom.xml><?xml version="1.0" encoding="utf-8"?>
<Properties xmlns="http://schemas.openxmlformats.org/officeDocument/2006/custom-properties" xmlns:vt="http://schemas.openxmlformats.org/officeDocument/2006/docPropsVTypes"/>
</file>